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w:t>
      </w:r>
      <w:r w:rsidR="002A6EBB">
        <w:rPr>
          <w:rFonts w:ascii="Times New Roman" w:hAnsi="Times New Roman" w:cs="Times New Roman"/>
          <w:b/>
        </w:rPr>
        <w:t>6</w:t>
      </w:r>
      <w:r w:rsidRPr="00CD2BFF">
        <w:rPr>
          <w:rFonts w:ascii="Times New Roman" w:hAnsi="Times New Roman" w:cs="Times New Roman"/>
          <w:b/>
        </w:rPr>
        <w:t>-COAD/DLOG</w:t>
      </w:r>
    </w:p>
    <w:p w:rsidR="00055845" w:rsidRPr="00CD2BFF" w:rsidRDefault="00FE7CC3" w:rsidP="00055845">
      <w:pPr>
        <w:spacing w:after="120" w:line="360" w:lineRule="auto"/>
        <w:jc w:val="right"/>
        <w:rPr>
          <w:rFonts w:ascii="Times New Roman" w:hAnsi="Times New Roman" w:cs="Times New Roman"/>
          <w:b/>
        </w:rPr>
      </w:pPr>
      <w:r>
        <w:rPr>
          <w:rFonts w:ascii="Times New Roman" w:hAnsi="Times New Roman" w:cs="Times New Roman"/>
          <w:b/>
        </w:rPr>
        <w:t>08211.00</w:t>
      </w:r>
      <w:r w:rsidR="00510E9C">
        <w:rPr>
          <w:rFonts w:ascii="Times New Roman" w:hAnsi="Times New Roman" w:cs="Times New Roman"/>
          <w:b/>
        </w:rPr>
        <w:t>1302</w:t>
      </w:r>
      <w:r>
        <w:rPr>
          <w:rFonts w:ascii="Times New Roman" w:hAnsi="Times New Roman" w:cs="Times New Roman"/>
          <w:b/>
        </w:rPr>
        <w:t>/2015-1</w:t>
      </w:r>
      <w:r w:rsidR="00510E9C">
        <w:rPr>
          <w:rFonts w:ascii="Times New Roman" w:hAnsi="Times New Roman" w:cs="Times New Roman"/>
          <w:b/>
        </w:rPr>
        <w:t>6</w:t>
      </w:r>
      <w:r>
        <w:rPr>
          <w:rFonts w:ascii="Times New Roman" w:hAnsi="Times New Roman" w:cs="Times New Roman"/>
          <w:b/>
        </w:rPr>
        <w:t>-CGCI/DPF</w:t>
      </w:r>
    </w:p>
    <w:p w:rsidR="00EF2567" w:rsidRPr="00CD2BFF" w:rsidRDefault="0070059F" w:rsidP="00055845">
      <w:pPr>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SERVIÇOS </w:t>
      </w:r>
      <w:r w:rsidR="00CD2BFF">
        <w:rPr>
          <w:rFonts w:ascii="Times New Roman" w:hAnsi="Times New Roman" w:cs="Times New Roman"/>
          <w:b/>
        </w:rPr>
        <w:t xml:space="preserve">DE </w:t>
      </w:r>
      <w:r w:rsidR="00510E9C">
        <w:rPr>
          <w:rFonts w:ascii="Times New Roman" w:hAnsi="Times New Roman" w:cs="Times New Roman"/>
          <w:b/>
        </w:rPr>
        <w:t>TRADUÇÃO</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representado(a)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r w:rsidR="0070059F" w:rsidRPr="00CD2BFF">
        <w:rPr>
          <w:rFonts w:ascii="Times New Roman" w:hAnsi="Times New Roman" w:cs="Times New Roman"/>
          <w:i/>
          <w:iCs/>
          <w:color w:val="FF0000"/>
        </w:rPr>
        <w:t>cargo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em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FE7CC3">
        <w:rPr>
          <w:rFonts w:ascii="Times New Roman" w:hAnsi="Times New Roman" w:cs="Times New Roman"/>
          <w:b/>
        </w:rPr>
        <w:t>08211.00</w:t>
      </w:r>
      <w:r w:rsidR="00510E9C">
        <w:rPr>
          <w:rFonts w:ascii="Times New Roman" w:hAnsi="Times New Roman" w:cs="Times New Roman"/>
          <w:b/>
        </w:rPr>
        <w:t>1302</w:t>
      </w:r>
      <w:r w:rsidR="00FE7CC3">
        <w:rPr>
          <w:rFonts w:ascii="Times New Roman" w:hAnsi="Times New Roman" w:cs="Times New Roman"/>
          <w:b/>
        </w:rPr>
        <w:t>/2015-1</w:t>
      </w:r>
      <w:r w:rsidR="00510E9C">
        <w:rPr>
          <w:rFonts w:ascii="Times New Roman" w:hAnsi="Times New Roman" w:cs="Times New Roman"/>
          <w:b/>
        </w:rPr>
        <w:t>6</w:t>
      </w:r>
      <w:r w:rsidR="00FE7CC3">
        <w:rPr>
          <w:rFonts w:ascii="Times New Roman" w:hAnsi="Times New Roman" w:cs="Times New Roman"/>
          <w:b/>
        </w:rPr>
        <w:t>-CGCI/DPF</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w:t>
      </w:r>
      <w:r w:rsidR="00510E9C" w:rsidRPr="00510E9C">
        <w:rPr>
          <w:rFonts w:ascii="Times New Roman" w:hAnsi="Times New Roman" w:cs="Times New Roman"/>
          <w:color w:val="000000"/>
          <w:szCs w:val="20"/>
        </w:rPr>
        <w:t xml:space="preserve">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w:t>
      </w:r>
      <w:r w:rsidR="00510E9C" w:rsidRPr="00510E9C">
        <w:rPr>
          <w:rFonts w:ascii="Times New Roman" w:hAnsi="Times New Roman" w:cs="Times New Roman"/>
          <w:szCs w:val="20"/>
        </w:rPr>
        <w:t>8.538, de 06 de outubro de 2015</w:t>
      </w:r>
      <w:r w:rsidR="006D62AC" w:rsidRPr="00510E9C">
        <w:rPr>
          <w:rFonts w:ascii="Times New Roman" w:hAnsi="Times New Roman" w:cs="Times New Roman"/>
        </w:rPr>
        <w:t xml:space="preserve"> e suas alterações, </w:t>
      </w:r>
      <w:r w:rsidR="0070059F" w:rsidRPr="00510E9C">
        <w:rPr>
          <w:rFonts w:ascii="Times New Roman" w:hAnsi="Times New Roman" w:cs="Times New Roman"/>
        </w:rPr>
        <w:t>resolvem celebrar o presente</w:t>
      </w:r>
      <w:r w:rsidR="0070059F" w:rsidRPr="00CD2BFF">
        <w:rPr>
          <w:rFonts w:ascii="Times New Roman" w:hAnsi="Times New Roman" w:cs="Times New Roman"/>
        </w:rPr>
        <w:t xml:space="preserve"> Termo de Contrato, decorrente do Pregão</w:t>
      </w:r>
      <w:r w:rsidR="00FE7CC3">
        <w:rPr>
          <w:rFonts w:ascii="Times New Roman" w:hAnsi="Times New Roman" w:cs="Times New Roman"/>
        </w:rPr>
        <w:t xml:space="preserve"> Eletrônico </w:t>
      </w:r>
      <w:r w:rsidR="0070059F" w:rsidRPr="00CD2BFF">
        <w:rPr>
          <w:rFonts w:ascii="Times New Roman" w:hAnsi="Times New Roman" w:cs="Times New Roman"/>
        </w:rPr>
        <w:t xml:space="preserve">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C93D83" w:rsidRPr="00C93D83" w:rsidRDefault="005305C0" w:rsidP="00C93D83">
      <w:pPr>
        <w:numPr>
          <w:ilvl w:val="1"/>
          <w:numId w:val="13"/>
        </w:numPr>
        <w:spacing w:before="120" w:after="120" w:line="276" w:lineRule="auto"/>
        <w:jc w:val="both"/>
        <w:rPr>
          <w:rFonts w:ascii="Times New Roman" w:hAnsi="Times New Roman" w:cs="Times New Roman"/>
          <w:color w:val="000000"/>
        </w:rPr>
      </w:pPr>
      <w:r w:rsidRPr="00FE7CC3">
        <w:rPr>
          <w:rFonts w:ascii="Times New Roman" w:hAnsi="Times New Roman" w:cs="Times New Roman"/>
        </w:rPr>
        <w:t xml:space="preserve">O objeto do presente contrato é a </w:t>
      </w:r>
      <w:r w:rsidR="00C93D83" w:rsidRPr="00C93D83">
        <w:rPr>
          <w:rFonts w:ascii="Times New Roman" w:hAnsi="Times New Roman" w:cs="Times New Roman"/>
          <w:color w:val="000000"/>
          <w:szCs w:val="20"/>
        </w:rPr>
        <w:t>contratação de serviços de versão de textos, do idioma português para os idiomas alemão, árabe, espanhol, francês, holandês, inglês e italiano, e tradução dos citados idiomas para o português</w:t>
      </w:r>
      <w:r w:rsidR="00C93D83" w:rsidRPr="00C93D83">
        <w:rPr>
          <w:rFonts w:ascii="Times New Roman" w:hAnsi="Times New Roman" w:cs="Times New Roman"/>
          <w:b/>
          <w:color w:val="000000"/>
          <w:szCs w:val="20"/>
        </w:rPr>
        <w:t>,</w:t>
      </w:r>
      <w:r w:rsidR="00C93D83" w:rsidRPr="00C93D83">
        <w:rPr>
          <w:rFonts w:ascii="Times New Roman" w:hAnsi="Times New Roman" w:cs="Times New Roman"/>
          <w:color w:val="000000"/>
          <w:szCs w:val="20"/>
        </w:rPr>
        <w:t xml:space="preserve"> conforme condições, quantidades e exigências estabelecidas neste Edital e seus ane</w:t>
      </w:r>
      <w:r w:rsidR="00C93D83" w:rsidRPr="00C93D83">
        <w:rPr>
          <w:rFonts w:ascii="Times New Roman" w:hAnsi="Times New Roman" w:cs="Times New Roman"/>
          <w:color w:val="000000"/>
        </w:rPr>
        <w:t>xos</w:t>
      </w:r>
      <w:r w:rsidR="00C93D83" w:rsidRPr="00C93D83">
        <w:rPr>
          <w:rFonts w:ascii="Times New Roman" w:hAnsi="Times New Roman" w:cs="Times New Roman"/>
          <w:color w:val="000000"/>
        </w:rPr>
        <w:t xml:space="preserve"> e conforme grupos abaixo:</w:t>
      </w:r>
    </w:p>
    <w:tbl>
      <w:tblPr>
        <w:tblStyle w:val="Tabelacomgrade"/>
        <w:tblW w:w="9084" w:type="dxa"/>
        <w:tblInd w:w="425" w:type="dxa"/>
        <w:tblLook w:val="04A0" w:firstRow="1" w:lastRow="0" w:firstColumn="1" w:lastColumn="0" w:noHBand="0" w:noVBand="1"/>
      </w:tblPr>
      <w:tblGrid>
        <w:gridCol w:w="1181"/>
        <w:gridCol w:w="705"/>
        <w:gridCol w:w="2190"/>
        <w:gridCol w:w="1736"/>
        <w:gridCol w:w="1570"/>
        <w:gridCol w:w="1702"/>
      </w:tblGrid>
      <w:tr w:rsidR="00C93D83" w:rsidRPr="00C93D83" w:rsidTr="00C93D83">
        <w:trPr>
          <w:trHeight w:val="1086"/>
        </w:trPr>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lastRenderedPageBreak/>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1702"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C93D83">
        <w:trPr>
          <w:trHeight w:val="1622"/>
        </w:trPr>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 Exclusivo ME/EPP</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Alemão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150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R$ 80,00</w:t>
            </w:r>
          </w:p>
        </w:tc>
        <w:tc>
          <w:tcPr>
            <w:tcW w:w="1702"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R$ 12.000,00</w:t>
            </w:r>
          </w:p>
        </w:tc>
      </w:tr>
      <w:tr w:rsidR="00C93D83" w:rsidRPr="00C93D83" w:rsidTr="00C93D83">
        <w:trPr>
          <w:trHeight w:val="1622"/>
        </w:trPr>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2</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Alemão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15</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R$ 95,83</w:t>
            </w:r>
          </w:p>
        </w:tc>
        <w:tc>
          <w:tcPr>
            <w:tcW w:w="1702"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R$ 1.437,45</w:t>
            </w:r>
          </w:p>
        </w:tc>
      </w:tr>
      <w:tr w:rsidR="00C93D83" w:rsidRPr="00C93D83" w:rsidTr="00C93D83">
        <w:trPr>
          <w:trHeight w:val="887"/>
        </w:trPr>
        <w:tc>
          <w:tcPr>
            <w:tcW w:w="9084" w:type="dxa"/>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R$ 13.437,45</w:t>
            </w:r>
          </w:p>
        </w:tc>
      </w:tr>
    </w:tbl>
    <w:p w:rsidR="00FE7CC3" w:rsidRPr="00C93D83" w:rsidRDefault="00FE7CC3" w:rsidP="00FE7CC3">
      <w:pPr>
        <w:spacing w:before="120" w:after="120" w:line="276" w:lineRule="auto"/>
        <w:jc w:val="both"/>
        <w:rPr>
          <w:rFonts w:ascii="Times New Roman" w:hAnsi="Times New Roman" w:cs="Times New Roman"/>
          <w:color w:val="000000"/>
        </w:rPr>
      </w:pPr>
    </w:p>
    <w:tbl>
      <w:tblPr>
        <w:tblStyle w:val="Tabelacomgrade"/>
        <w:tblW w:w="9039" w:type="dxa"/>
        <w:tblInd w:w="425" w:type="dxa"/>
        <w:tblLook w:val="04A0" w:firstRow="1" w:lastRow="0" w:firstColumn="1" w:lastColumn="0" w:noHBand="0" w:noVBand="1"/>
      </w:tblPr>
      <w:tblGrid>
        <w:gridCol w:w="1154"/>
        <w:gridCol w:w="705"/>
        <w:gridCol w:w="2170"/>
        <w:gridCol w:w="1738"/>
        <w:gridCol w:w="1574"/>
        <w:gridCol w:w="1698"/>
      </w:tblGrid>
      <w:tr w:rsidR="00C93D83" w:rsidRPr="00C93D83" w:rsidTr="00A764A1">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1698"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A764A1">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2</w:t>
            </w:r>
          </w:p>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Exclusivo ME/EPP</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3</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Árabe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30</w:t>
            </w:r>
          </w:p>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R$ 100,00</w:t>
            </w:r>
          </w:p>
        </w:tc>
        <w:tc>
          <w:tcPr>
            <w:tcW w:w="1698"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R$ 3.000,00</w:t>
            </w:r>
          </w:p>
        </w:tc>
      </w:tr>
      <w:tr w:rsidR="00C93D83" w:rsidRPr="00C93D83" w:rsidTr="00A764A1">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4</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Árabe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15</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R$ 122,50</w:t>
            </w:r>
          </w:p>
        </w:tc>
        <w:tc>
          <w:tcPr>
            <w:tcW w:w="1698"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R$ 1.837,50</w:t>
            </w:r>
          </w:p>
        </w:tc>
      </w:tr>
      <w:tr w:rsidR="00C93D83" w:rsidRPr="00C93D83" w:rsidTr="00A764A1">
        <w:tc>
          <w:tcPr>
            <w:tcW w:w="9039" w:type="dxa"/>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R$ 4.837,50</w:t>
            </w:r>
          </w:p>
        </w:tc>
      </w:tr>
    </w:tbl>
    <w:p w:rsidR="00C93D83" w:rsidRPr="00C93D83" w:rsidRDefault="00C93D83" w:rsidP="00FE7CC3">
      <w:pPr>
        <w:spacing w:before="120" w:after="120" w:line="276" w:lineRule="auto"/>
        <w:jc w:val="both"/>
        <w:rPr>
          <w:rFonts w:ascii="Times New Roman" w:hAnsi="Times New Roman" w:cs="Times New Roman"/>
          <w:color w:val="000000"/>
        </w:rPr>
      </w:pPr>
    </w:p>
    <w:tbl>
      <w:tblPr>
        <w:tblStyle w:val="Tabelacomgrade"/>
        <w:tblW w:w="9039" w:type="dxa"/>
        <w:tblInd w:w="425" w:type="dxa"/>
        <w:tblLook w:val="04A0" w:firstRow="1" w:lastRow="0" w:firstColumn="1" w:lastColumn="0" w:noHBand="0" w:noVBand="1"/>
      </w:tblPr>
      <w:tblGrid>
        <w:gridCol w:w="1299"/>
        <w:gridCol w:w="705"/>
        <w:gridCol w:w="2115"/>
        <w:gridCol w:w="1707"/>
        <w:gridCol w:w="1524"/>
        <w:gridCol w:w="1689"/>
      </w:tblGrid>
      <w:tr w:rsidR="00C93D83" w:rsidRPr="00C93D83" w:rsidTr="00A764A1">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1689"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A764A1">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 xml:space="preserve">3 </w:t>
            </w:r>
          </w:p>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Ampla Participação</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5</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Espanhol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2500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R$ 50,00</w:t>
            </w:r>
          </w:p>
        </w:tc>
        <w:tc>
          <w:tcPr>
            <w:tcW w:w="1689" w:type="dxa"/>
          </w:tcPr>
          <w:p w:rsidR="00C93D83" w:rsidRPr="00C93D83" w:rsidRDefault="00C93D83" w:rsidP="00A764A1">
            <w:pPr>
              <w:pStyle w:val="PargrafodaLista"/>
              <w:autoSpaceDE w:val="0"/>
              <w:spacing w:before="120" w:after="120" w:line="276" w:lineRule="auto"/>
              <w:ind w:left="0"/>
              <w:rPr>
                <w:rFonts w:ascii="Times New Roman" w:hAnsi="Times New Roman" w:cs="Times New Roman"/>
                <w:sz w:val="20"/>
                <w:szCs w:val="20"/>
              </w:rPr>
            </w:pPr>
            <w:r w:rsidRPr="00C93D83">
              <w:rPr>
                <w:rFonts w:ascii="Times New Roman" w:hAnsi="Times New Roman" w:cs="Times New Roman"/>
                <w:sz w:val="20"/>
                <w:szCs w:val="20"/>
              </w:rPr>
              <w:t>R$ 125.000,00</w:t>
            </w:r>
          </w:p>
        </w:tc>
      </w:tr>
      <w:tr w:rsidR="00C93D83" w:rsidRPr="00C93D83" w:rsidTr="00A764A1">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6</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Espanhol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500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R$ 71,88</w:t>
            </w:r>
          </w:p>
        </w:tc>
        <w:tc>
          <w:tcPr>
            <w:tcW w:w="1689"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R$ 35.940,00</w:t>
            </w:r>
          </w:p>
        </w:tc>
      </w:tr>
      <w:tr w:rsidR="00C93D83" w:rsidRPr="00C93D83" w:rsidTr="00A764A1">
        <w:tc>
          <w:tcPr>
            <w:tcW w:w="9039" w:type="dxa"/>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R$ 160.940,00</w:t>
            </w:r>
          </w:p>
        </w:tc>
      </w:tr>
    </w:tbl>
    <w:p w:rsidR="00C93D83" w:rsidRDefault="00C93D83" w:rsidP="00FE7CC3">
      <w:pPr>
        <w:spacing w:before="120" w:after="120" w:line="276" w:lineRule="auto"/>
        <w:jc w:val="both"/>
        <w:rPr>
          <w:rFonts w:ascii="Times New Roman" w:hAnsi="Times New Roman" w:cs="Times New Roman"/>
          <w:color w:val="000000"/>
        </w:rPr>
      </w:pPr>
    </w:p>
    <w:p w:rsidR="00C93D83" w:rsidRPr="00C93D83" w:rsidRDefault="00C93D83" w:rsidP="00FE7CC3">
      <w:pPr>
        <w:spacing w:before="120" w:after="120" w:line="276" w:lineRule="auto"/>
        <w:jc w:val="both"/>
        <w:rPr>
          <w:rFonts w:ascii="Times New Roman" w:hAnsi="Times New Roman" w:cs="Times New Roman"/>
          <w:color w:val="000000"/>
        </w:rPr>
      </w:pPr>
    </w:p>
    <w:tbl>
      <w:tblPr>
        <w:tblStyle w:val="Tabelacomgrade"/>
        <w:tblW w:w="8642" w:type="dxa"/>
        <w:tblInd w:w="425" w:type="dxa"/>
        <w:tblLayout w:type="fixed"/>
        <w:tblLook w:val="04A0" w:firstRow="1" w:lastRow="0" w:firstColumn="1" w:lastColumn="0" w:noHBand="0" w:noVBand="1"/>
      </w:tblPr>
      <w:tblGrid>
        <w:gridCol w:w="959"/>
        <w:gridCol w:w="851"/>
        <w:gridCol w:w="2268"/>
        <w:gridCol w:w="1304"/>
        <w:gridCol w:w="1559"/>
        <w:gridCol w:w="1701"/>
      </w:tblGrid>
      <w:tr w:rsidR="00C93D83" w:rsidRPr="00C93D83" w:rsidTr="00C93D83">
        <w:tc>
          <w:tcPr>
            <w:tcW w:w="959"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851"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2268"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1304"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1559"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1701" w:type="dxa"/>
          </w:tcPr>
          <w:p w:rsidR="00C93D83" w:rsidRPr="00C93D83" w:rsidRDefault="00C93D83" w:rsidP="00A764A1">
            <w:pPr>
              <w:pStyle w:val="PargrafodaLista"/>
              <w:autoSpaceDE w:val="0"/>
              <w:spacing w:before="120" w:after="120" w:line="276" w:lineRule="auto"/>
              <w:ind w:left="0" w:right="317"/>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C93D83">
        <w:tc>
          <w:tcPr>
            <w:tcW w:w="959" w:type="dxa"/>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4</w:t>
            </w:r>
          </w:p>
          <w:p w:rsidR="00C93D83" w:rsidRPr="00C93D83" w:rsidRDefault="00C93D83" w:rsidP="00A764A1">
            <w:pPr>
              <w:pStyle w:val="PargrafodaLista"/>
              <w:autoSpaceDE w:val="0"/>
              <w:spacing w:before="120" w:after="120" w:line="276" w:lineRule="auto"/>
              <w:ind w:left="0" w:right="-108"/>
              <w:jc w:val="center"/>
              <w:rPr>
                <w:rFonts w:ascii="Times New Roman" w:hAnsi="Times New Roman" w:cs="Times New Roman"/>
                <w:sz w:val="20"/>
                <w:szCs w:val="20"/>
              </w:rPr>
            </w:pPr>
            <w:r w:rsidRPr="00C93D83">
              <w:rPr>
                <w:rFonts w:ascii="Times New Roman" w:hAnsi="Times New Roman" w:cs="Times New Roman"/>
                <w:sz w:val="20"/>
                <w:szCs w:val="20"/>
              </w:rPr>
              <w:t>Exclusivo ME/EPP</w:t>
            </w:r>
          </w:p>
        </w:tc>
        <w:tc>
          <w:tcPr>
            <w:tcW w:w="851"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7</w:t>
            </w:r>
          </w:p>
        </w:tc>
        <w:tc>
          <w:tcPr>
            <w:tcW w:w="2268"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Francês x Português (Normal)</w:t>
            </w:r>
          </w:p>
        </w:tc>
        <w:tc>
          <w:tcPr>
            <w:tcW w:w="1304"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600</w:t>
            </w:r>
          </w:p>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p>
        </w:tc>
        <w:tc>
          <w:tcPr>
            <w:tcW w:w="1559"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R$ 61,25</w:t>
            </w:r>
          </w:p>
        </w:tc>
        <w:tc>
          <w:tcPr>
            <w:tcW w:w="1701" w:type="dxa"/>
          </w:tcPr>
          <w:p w:rsidR="00C93D83" w:rsidRPr="00C93D83" w:rsidRDefault="00C93D83" w:rsidP="00A764A1">
            <w:pPr>
              <w:pStyle w:val="PargrafodaLista"/>
              <w:autoSpaceDE w:val="0"/>
              <w:spacing w:before="120" w:after="120" w:line="276" w:lineRule="auto"/>
              <w:ind w:left="0" w:right="34"/>
              <w:jc w:val="center"/>
              <w:rPr>
                <w:rFonts w:ascii="Times New Roman" w:hAnsi="Times New Roman" w:cs="Times New Roman"/>
                <w:sz w:val="20"/>
                <w:szCs w:val="20"/>
              </w:rPr>
            </w:pPr>
            <w:r w:rsidRPr="00C93D83">
              <w:rPr>
                <w:rFonts w:ascii="Times New Roman" w:hAnsi="Times New Roman" w:cs="Times New Roman"/>
                <w:sz w:val="20"/>
                <w:szCs w:val="20"/>
              </w:rPr>
              <w:t>R$ 36.750,00</w:t>
            </w:r>
          </w:p>
        </w:tc>
      </w:tr>
      <w:tr w:rsidR="00C93D83" w:rsidRPr="00C93D83" w:rsidTr="00C93D83">
        <w:tc>
          <w:tcPr>
            <w:tcW w:w="959" w:type="dxa"/>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851"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8</w:t>
            </w:r>
          </w:p>
        </w:tc>
        <w:tc>
          <w:tcPr>
            <w:tcW w:w="2268" w:type="dxa"/>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Francês x Português (Urgente)</w:t>
            </w:r>
          </w:p>
        </w:tc>
        <w:tc>
          <w:tcPr>
            <w:tcW w:w="1304"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100</w:t>
            </w:r>
          </w:p>
        </w:tc>
        <w:tc>
          <w:tcPr>
            <w:tcW w:w="1559" w:type="dxa"/>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R$ 81,25</w:t>
            </w:r>
          </w:p>
        </w:tc>
        <w:tc>
          <w:tcPr>
            <w:tcW w:w="1701" w:type="dxa"/>
          </w:tcPr>
          <w:p w:rsidR="00C93D83" w:rsidRPr="00C93D83" w:rsidRDefault="00C93D83" w:rsidP="00A764A1">
            <w:pPr>
              <w:pStyle w:val="PargrafodaLista"/>
              <w:autoSpaceDE w:val="0"/>
              <w:spacing w:before="120" w:after="120" w:line="276" w:lineRule="auto"/>
              <w:ind w:left="0" w:right="34"/>
              <w:jc w:val="center"/>
              <w:rPr>
                <w:rFonts w:ascii="Times New Roman" w:hAnsi="Times New Roman" w:cs="Times New Roman"/>
                <w:sz w:val="20"/>
                <w:szCs w:val="20"/>
              </w:rPr>
            </w:pPr>
            <w:r w:rsidRPr="00C93D83">
              <w:rPr>
                <w:rFonts w:ascii="Times New Roman" w:hAnsi="Times New Roman" w:cs="Times New Roman"/>
                <w:sz w:val="20"/>
                <w:szCs w:val="20"/>
              </w:rPr>
              <w:t>R$ 8.125,00</w:t>
            </w:r>
          </w:p>
        </w:tc>
      </w:tr>
      <w:tr w:rsidR="00C93D83" w:rsidRPr="00C93D83" w:rsidTr="00C93D83">
        <w:tc>
          <w:tcPr>
            <w:tcW w:w="8642" w:type="dxa"/>
            <w:gridSpan w:val="6"/>
          </w:tcPr>
          <w:p w:rsidR="00C93D83" w:rsidRPr="00C93D83" w:rsidRDefault="00C93D83" w:rsidP="00A764A1">
            <w:pPr>
              <w:pStyle w:val="PargrafodaLista"/>
              <w:autoSpaceDE w:val="0"/>
              <w:spacing w:before="120" w:after="120" w:line="276" w:lineRule="auto"/>
              <w:ind w:left="0" w:right="34"/>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R$ 44.875,00</w:t>
            </w:r>
          </w:p>
        </w:tc>
      </w:tr>
    </w:tbl>
    <w:p w:rsidR="00C93D83" w:rsidRPr="00C93D83" w:rsidRDefault="00C93D83" w:rsidP="00FE7CC3">
      <w:pPr>
        <w:spacing w:before="120" w:after="120" w:line="276" w:lineRule="auto"/>
        <w:jc w:val="both"/>
        <w:rPr>
          <w:rFonts w:ascii="Times New Roman" w:hAnsi="Times New Roman" w:cs="Times New Roman"/>
          <w:color w:val="000000"/>
        </w:rPr>
      </w:pPr>
    </w:p>
    <w:tbl>
      <w:tblPr>
        <w:tblStyle w:val="Tabelacomgrade"/>
        <w:tblW w:w="0" w:type="auto"/>
        <w:tblInd w:w="425" w:type="dxa"/>
        <w:tblLook w:val="04A0" w:firstRow="1" w:lastRow="0" w:firstColumn="1" w:lastColumn="0" w:noHBand="0" w:noVBand="1"/>
      </w:tblPr>
      <w:tblGrid>
        <w:gridCol w:w="1153"/>
        <w:gridCol w:w="705"/>
        <w:gridCol w:w="2096"/>
        <w:gridCol w:w="1701"/>
        <w:gridCol w:w="1514"/>
        <w:gridCol w:w="1467"/>
      </w:tblGrid>
      <w:tr w:rsidR="00C93D83" w:rsidRPr="00C93D83" w:rsidTr="00A764A1">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A764A1">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5 Exclusivo ME/EPP</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9</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Holandês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200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R$ 100,00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R$ 20.000,00</w:t>
            </w:r>
          </w:p>
        </w:tc>
      </w:tr>
      <w:tr w:rsidR="00C93D83" w:rsidRPr="00C93D83" w:rsidTr="00A764A1">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10</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Holandês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30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R$ 129,38</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R$ 3.881,40</w:t>
            </w:r>
          </w:p>
        </w:tc>
      </w:tr>
      <w:tr w:rsidR="00C93D83" w:rsidRPr="00C93D83" w:rsidTr="00A764A1">
        <w:tc>
          <w:tcPr>
            <w:tcW w:w="0" w:type="auto"/>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R$ 23.881,40</w:t>
            </w:r>
          </w:p>
        </w:tc>
      </w:tr>
    </w:tbl>
    <w:p w:rsidR="00C93D83" w:rsidRDefault="00C93D83" w:rsidP="00FE7CC3">
      <w:pPr>
        <w:spacing w:before="120" w:after="120" w:line="276" w:lineRule="auto"/>
        <w:jc w:val="both"/>
        <w:rPr>
          <w:rFonts w:ascii="Times New Roman" w:hAnsi="Times New Roman" w:cs="Times New Roman"/>
          <w:color w:val="000000"/>
        </w:rPr>
      </w:pPr>
    </w:p>
    <w:tbl>
      <w:tblPr>
        <w:tblStyle w:val="Tabelacomgrade"/>
        <w:tblW w:w="0" w:type="auto"/>
        <w:tblInd w:w="425" w:type="dxa"/>
        <w:tblLook w:val="04A0" w:firstRow="1" w:lastRow="0" w:firstColumn="1" w:lastColumn="0" w:noHBand="0" w:noVBand="1"/>
      </w:tblPr>
      <w:tblGrid>
        <w:gridCol w:w="1286"/>
        <w:gridCol w:w="705"/>
        <w:gridCol w:w="2014"/>
        <w:gridCol w:w="1688"/>
        <w:gridCol w:w="1493"/>
        <w:gridCol w:w="1450"/>
      </w:tblGrid>
      <w:tr w:rsidR="00C93D83" w:rsidRPr="00C93D83" w:rsidTr="00A764A1">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 xml:space="preserve">ITEM </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A764A1">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6</w:t>
            </w:r>
          </w:p>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Ampla Participação</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11</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Inglês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3000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R$ 47,60</w:t>
            </w:r>
          </w:p>
        </w:tc>
        <w:tc>
          <w:tcPr>
            <w:tcW w:w="0" w:type="auto"/>
          </w:tcPr>
          <w:p w:rsidR="00C93D83" w:rsidRPr="00C93D83" w:rsidRDefault="00C93D83" w:rsidP="00A764A1">
            <w:pPr>
              <w:pStyle w:val="PargrafodaLista"/>
              <w:autoSpaceDE w:val="0"/>
              <w:spacing w:before="120" w:after="120" w:line="276" w:lineRule="auto"/>
              <w:ind w:left="0" w:right="-143"/>
              <w:jc w:val="center"/>
              <w:rPr>
                <w:rFonts w:ascii="Times New Roman" w:hAnsi="Times New Roman" w:cs="Times New Roman"/>
                <w:sz w:val="20"/>
                <w:szCs w:val="20"/>
              </w:rPr>
            </w:pPr>
            <w:r w:rsidRPr="00C93D83">
              <w:rPr>
                <w:rFonts w:ascii="Times New Roman" w:hAnsi="Times New Roman" w:cs="Times New Roman"/>
                <w:sz w:val="20"/>
                <w:szCs w:val="20"/>
              </w:rPr>
              <w:t>R$ 142.800,00</w:t>
            </w:r>
          </w:p>
        </w:tc>
      </w:tr>
      <w:tr w:rsidR="00C93D83" w:rsidRPr="00C93D83" w:rsidTr="00A764A1">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12</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Inglês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500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R$ 65,10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R$ 32.550,00</w:t>
            </w:r>
          </w:p>
        </w:tc>
      </w:tr>
      <w:tr w:rsidR="00C93D83" w:rsidRPr="00C93D83" w:rsidTr="00A764A1">
        <w:tc>
          <w:tcPr>
            <w:tcW w:w="0" w:type="auto"/>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R$ 175.350,00</w:t>
            </w:r>
          </w:p>
        </w:tc>
      </w:tr>
    </w:tbl>
    <w:p w:rsidR="00C93D83" w:rsidRDefault="00C93D83" w:rsidP="00FE7CC3">
      <w:pPr>
        <w:spacing w:before="120" w:after="120" w:line="276" w:lineRule="auto"/>
        <w:jc w:val="both"/>
        <w:rPr>
          <w:rFonts w:ascii="Times New Roman" w:hAnsi="Times New Roman" w:cs="Times New Roman"/>
          <w:color w:val="000000"/>
        </w:rPr>
      </w:pPr>
    </w:p>
    <w:tbl>
      <w:tblPr>
        <w:tblStyle w:val="Tabelacomgrade"/>
        <w:tblW w:w="0" w:type="auto"/>
        <w:tblInd w:w="425" w:type="dxa"/>
        <w:tblLook w:val="04A0" w:firstRow="1" w:lastRow="0" w:firstColumn="1" w:lastColumn="0" w:noHBand="0" w:noVBand="1"/>
      </w:tblPr>
      <w:tblGrid>
        <w:gridCol w:w="1154"/>
        <w:gridCol w:w="705"/>
        <w:gridCol w:w="2083"/>
        <w:gridCol w:w="1704"/>
        <w:gridCol w:w="1519"/>
        <w:gridCol w:w="1471"/>
      </w:tblGrid>
      <w:tr w:rsidR="00C93D83" w:rsidRPr="00C93D83" w:rsidTr="00A764A1">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GRUPO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ITEM</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OBJETO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QUANTIDADE ESTIMADA</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UNITÁRIO ESTIMADO</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VALOR TOTAL ESTIMADO</w:t>
            </w:r>
          </w:p>
        </w:tc>
      </w:tr>
      <w:tr w:rsidR="00C93D83" w:rsidRPr="00C93D83" w:rsidTr="00A764A1">
        <w:tc>
          <w:tcPr>
            <w:tcW w:w="0" w:type="auto"/>
            <w:vMerge w:val="restart"/>
            <w:vAlign w:val="center"/>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7 Exclusivo ME/EPP</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13</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Italiano x Português (Normal)</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200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R$ 61,25</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R$ 12.250,00</w:t>
            </w:r>
          </w:p>
        </w:tc>
      </w:tr>
      <w:tr w:rsidR="00C93D83" w:rsidRPr="00C93D83" w:rsidTr="00A764A1">
        <w:tc>
          <w:tcPr>
            <w:tcW w:w="0" w:type="auto"/>
            <w:vMerge/>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14</w:t>
            </w:r>
          </w:p>
        </w:tc>
        <w:tc>
          <w:tcPr>
            <w:tcW w:w="0" w:type="auto"/>
          </w:tcPr>
          <w:p w:rsidR="00C93D83" w:rsidRPr="00C93D83" w:rsidRDefault="00C93D83" w:rsidP="00A764A1">
            <w:pPr>
              <w:pStyle w:val="PargrafodaLista"/>
              <w:autoSpaceDE w:val="0"/>
              <w:spacing w:before="120" w:after="120" w:line="276" w:lineRule="auto"/>
              <w:ind w:left="0"/>
              <w:jc w:val="both"/>
              <w:rPr>
                <w:rFonts w:ascii="Times New Roman" w:hAnsi="Times New Roman" w:cs="Times New Roman"/>
                <w:sz w:val="20"/>
                <w:szCs w:val="20"/>
              </w:rPr>
            </w:pPr>
            <w:r w:rsidRPr="00C93D83">
              <w:rPr>
                <w:rFonts w:ascii="Times New Roman" w:hAnsi="Times New Roman" w:cs="Times New Roman"/>
                <w:sz w:val="20"/>
                <w:szCs w:val="20"/>
              </w:rPr>
              <w:t>Tradução/versão Português x Italiano x Português (Urgente)</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30</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R$ 81,25</w:t>
            </w:r>
          </w:p>
        </w:tc>
        <w:tc>
          <w:tcPr>
            <w:tcW w:w="0" w:type="auto"/>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R$ 2.437,50</w:t>
            </w:r>
          </w:p>
        </w:tc>
      </w:tr>
      <w:tr w:rsidR="00C93D83" w:rsidRPr="00C93D83" w:rsidTr="00A764A1">
        <w:tc>
          <w:tcPr>
            <w:tcW w:w="0" w:type="auto"/>
            <w:gridSpan w:val="6"/>
          </w:tcPr>
          <w:p w:rsidR="00C93D83" w:rsidRPr="00C93D83" w:rsidRDefault="00C93D83" w:rsidP="00A764A1">
            <w:pPr>
              <w:pStyle w:val="PargrafodaLista"/>
              <w:autoSpaceDE w:val="0"/>
              <w:spacing w:before="120" w:after="120" w:line="276" w:lineRule="auto"/>
              <w:ind w:left="0"/>
              <w:jc w:val="center"/>
              <w:rPr>
                <w:rFonts w:ascii="Times New Roman" w:hAnsi="Times New Roman" w:cs="Times New Roman"/>
                <w:sz w:val="20"/>
                <w:szCs w:val="20"/>
              </w:rPr>
            </w:pPr>
            <w:r w:rsidRPr="00C93D83">
              <w:rPr>
                <w:rFonts w:ascii="Times New Roman" w:hAnsi="Times New Roman" w:cs="Times New Roman"/>
                <w:sz w:val="20"/>
                <w:szCs w:val="20"/>
              </w:rPr>
              <w:t>VALOR TOTAL ESTIMADO PARA O GRUPO                                                        R$ 14.687,50</w:t>
            </w:r>
          </w:p>
        </w:tc>
      </w:tr>
    </w:tbl>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o Pregão</w:t>
      </w:r>
      <w:r w:rsidR="002A6EBB">
        <w:rPr>
          <w:rFonts w:ascii="Times New Roman" w:hAnsi="Times New Roman" w:cs="Times New Roman"/>
          <w:color w:val="000000"/>
        </w:rPr>
        <w:t>, ao Termo de Referência</w:t>
      </w:r>
      <w:r w:rsidRPr="00CD2BFF">
        <w:rPr>
          <w:rFonts w:ascii="Times New Roman" w:hAnsi="Times New Roman" w:cs="Times New Roman"/>
          <w:color w:val="000000"/>
        </w:rPr>
        <w:t xml:space="preserve">, identificado no preâmbulo e </w:t>
      </w:r>
      <w:r w:rsidR="00A40017" w:rsidRPr="00CD2BFF">
        <w:rPr>
          <w:rFonts w:ascii="Times New Roman" w:hAnsi="Times New Roman" w:cs="Times New Roman"/>
          <w:color w:val="000000"/>
        </w:rPr>
        <w:t>à proposta vencedora, independentemente de transcrição.</w:t>
      </w:r>
    </w:p>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FE7CC3" w:rsidRDefault="00FE7CC3" w:rsidP="00FE7CC3">
      <w:pPr>
        <w:numPr>
          <w:ilvl w:val="1"/>
          <w:numId w:val="13"/>
        </w:numPr>
        <w:spacing w:before="120" w:after="120" w:line="276" w:lineRule="auto"/>
        <w:jc w:val="both"/>
        <w:rPr>
          <w:rFonts w:eastAsia="MS Mincho" w:cs="Times New Roman"/>
          <w:bCs/>
          <w:iCs/>
          <w:color w:val="000000"/>
          <w:sz w:val="20"/>
          <w:szCs w:val="20"/>
        </w:rPr>
      </w:pPr>
      <w:r w:rsidRPr="006406D1">
        <w:rPr>
          <w:rFonts w:eastAsia="MS Mincho" w:cs="Times New Roman"/>
          <w:bCs/>
          <w:iCs/>
          <w:color w:val="000000"/>
          <w:sz w:val="20"/>
          <w:szCs w:val="20"/>
        </w:rPr>
        <w:t xml:space="preserve">O prazo de vigência do Contrato será de 12 (doze) meses, a partir da data da </w:t>
      </w:r>
      <w:r w:rsidR="002A6EBB">
        <w:rPr>
          <w:rFonts w:eastAsia="MS Mincho" w:cs="Times New Roman"/>
          <w:bCs/>
          <w:iCs/>
          <w:color w:val="000000"/>
          <w:sz w:val="20"/>
          <w:szCs w:val="20"/>
        </w:rPr>
        <w:t>publicação do extrato no Diário Oficial da União</w:t>
      </w:r>
      <w:r w:rsidRPr="006406D1">
        <w:rPr>
          <w:rFonts w:eastAsia="MS Mincho" w:cs="Times New Roman"/>
          <w:bCs/>
          <w:iCs/>
          <w:color w:val="000000"/>
          <w:sz w:val="20"/>
          <w:szCs w:val="20"/>
        </w:rPr>
        <w:t>, podendo, por interesse da Administração, ser prorrogado por períodos sucessivos, limitado a sua duração a 60 (sessenta) meses, nos termos do inciso II do artigo 57, da Lei nº 8.666, de 1993.</w:t>
      </w:r>
    </w:p>
    <w:p w:rsidR="00FE7CC3" w:rsidRPr="006406D1" w:rsidRDefault="00FE7CC3" w:rsidP="00FE7CC3">
      <w:pPr>
        <w:spacing w:before="120" w:after="120" w:line="276" w:lineRule="auto"/>
        <w:ind w:left="426"/>
        <w:jc w:val="both"/>
        <w:rPr>
          <w:rFonts w:eastAsia="MS Mincho" w:cs="Times New Roman"/>
          <w:bCs/>
          <w:iCs/>
          <w:color w:val="000000"/>
          <w:sz w:val="20"/>
          <w:szCs w:val="20"/>
        </w:rPr>
      </w:pPr>
      <w:r>
        <w:rPr>
          <w:rFonts w:eastAsia="MS Mincho" w:cs="Times New Roman"/>
          <w:bCs/>
          <w:iCs/>
          <w:color w:val="000000"/>
          <w:sz w:val="20"/>
          <w:szCs w:val="20"/>
        </w:rPr>
        <w:t>2.1.1 – A CONTRATADA não tem direito subjetivo à prorrogação contratual.</w:t>
      </w:r>
    </w:p>
    <w:p w:rsidR="00D50084" w:rsidRPr="00FE7CC3" w:rsidRDefault="00236989" w:rsidP="00FE7CC3">
      <w:pPr>
        <w:numPr>
          <w:ilvl w:val="1"/>
          <w:numId w:val="13"/>
        </w:numPr>
        <w:spacing w:before="120" w:after="120" w:line="276" w:lineRule="auto"/>
        <w:jc w:val="both"/>
        <w:rPr>
          <w:rFonts w:ascii="Times New Roman" w:hAnsi="Times New Roman" w:cs="Times New Roman"/>
          <w:color w:val="000000"/>
        </w:rPr>
      </w:pPr>
      <w:r w:rsidRPr="00CD2BFF">
        <w:rPr>
          <w:rFonts w:ascii="Times New Roman" w:hAnsi="Times New Roman" w:cs="Times New Roman"/>
          <w:color w:val="000000"/>
        </w:rPr>
        <w:t>.</w:t>
      </w:r>
      <w:r w:rsidR="00FE7CC3" w:rsidRPr="00FE7CC3">
        <w:rPr>
          <w:rFonts w:eastAsia="MS Mincho" w:cs="Times New Roman"/>
          <w:bCs/>
          <w:iCs/>
          <w:color w:val="000000"/>
          <w:sz w:val="20"/>
          <w:szCs w:val="20"/>
        </w:rPr>
        <w:t xml:space="preserve"> </w:t>
      </w:r>
      <w:r w:rsidR="00FE7CC3" w:rsidRPr="006406D1">
        <w:rPr>
          <w:rFonts w:eastAsia="MS Mincho" w:cs="Times New Roman"/>
          <w:bCs/>
          <w:iCs/>
          <w:color w:val="000000"/>
          <w:sz w:val="20"/>
          <w:szCs w:val="20"/>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FE7CC3" w:rsidRDefault="00FE7CC3" w:rsidP="00FE7CC3">
      <w:pPr>
        <w:numPr>
          <w:ilvl w:val="1"/>
          <w:numId w:val="13"/>
        </w:numPr>
        <w:spacing w:before="120" w:after="120" w:line="276" w:lineRule="auto"/>
        <w:jc w:val="both"/>
        <w:rPr>
          <w:rFonts w:eastAsia="MS Mincho" w:cs="Times New Roman"/>
          <w:bCs/>
          <w:iCs/>
          <w:color w:val="000000"/>
          <w:sz w:val="20"/>
          <w:szCs w:val="20"/>
        </w:rPr>
      </w:pPr>
      <w:r w:rsidRPr="006406D1">
        <w:rPr>
          <w:rFonts w:eastAsia="MS Mincho" w:cs="Times New Roman"/>
          <w:bCs/>
          <w:iCs/>
          <w:color w:val="000000"/>
          <w:sz w:val="20"/>
          <w:szCs w:val="20"/>
        </w:rPr>
        <w:t>O contrato não poderá ser prorrogado quando:</w:t>
      </w:r>
    </w:p>
    <w:p w:rsidR="00FE7CC3" w:rsidRPr="006406D1" w:rsidRDefault="00FE7CC3" w:rsidP="00FE7CC3">
      <w:pPr>
        <w:pStyle w:val="PargrafodaLista"/>
        <w:numPr>
          <w:ilvl w:val="2"/>
          <w:numId w:val="13"/>
        </w:numPr>
        <w:tabs>
          <w:tab w:val="left" w:pos="1134"/>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FE7CC3" w:rsidRDefault="00FE7CC3" w:rsidP="00FE7CC3">
      <w:pPr>
        <w:pStyle w:val="PargrafodaLista"/>
        <w:numPr>
          <w:ilvl w:val="3"/>
          <w:numId w:val="13"/>
        </w:numPr>
        <w:tabs>
          <w:tab w:val="left" w:pos="1134"/>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Para tanto, a Contratante consultará o SICAF, o Cadastro Nacional de Empresas Inidôneas e Suspensas – CEIS, mantido pela Controladoria-Geral da União (</w:t>
      </w:r>
      <w:hyperlink r:id="rId7" w:history="1">
        <w:r w:rsidRPr="006406D1">
          <w:rPr>
            <w:rFonts w:eastAsia="MS Mincho" w:cs="Times New Roman"/>
            <w:bCs/>
            <w:iCs/>
            <w:color w:val="000000"/>
            <w:sz w:val="20"/>
            <w:szCs w:val="20"/>
          </w:rPr>
          <w:t>www.portaldatransparencia.gov.br/ceis</w:t>
        </w:r>
      </w:hyperlink>
      <w:r w:rsidRPr="006406D1">
        <w:rPr>
          <w:rFonts w:eastAsia="MS Mincho" w:cs="Times New Roman"/>
          <w:bCs/>
          <w:iCs/>
          <w:color w:val="000000"/>
          <w:sz w:val="20"/>
          <w:szCs w:val="20"/>
        </w:rPr>
        <w:t>), e o Cadastro Nacional de Condenações Cíveis por Atos de Improbidade Administrativa, mantido pelo Conselho Nacional de Justiça (</w:t>
      </w:r>
      <w:hyperlink r:id="rId8" w:history="1">
        <w:r w:rsidRPr="006406D1">
          <w:rPr>
            <w:rFonts w:eastAsia="MS Mincho" w:cs="Times New Roman"/>
            <w:bCs/>
            <w:iCs/>
            <w:color w:val="000000"/>
            <w:sz w:val="20"/>
            <w:szCs w:val="20"/>
          </w:rPr>
          <w:t>www.cnj.jus.br/improbidade_adm/consultar_requerido.php</w:t>
        </w:r>
      </w:hyperlink>
      <w:r w:rsidRPr="006406D1">
        <w:rPr>
          <w:rFonts w:eastAsia="MS Mincho" w:cs="Times New Roman"/>
          <w:bCs/>
          <w:iCs/>
          <w:color w:val="000000"/>
          <w:sz w:val="20"/>
          <w:szCs w:val="20"/>
        </w:rPr>
        <w:t>), em nome da empresa contratada e de seu sócio majoritário, por força do artigo 12 da Lei n° 8.429, de 1992.</w:t>
      </w:r>
    </w:p>
    <w:p w:rsidR="00FE7CC3" w:rsidRDefault="00FE7CC3" w:rsidP="00FE7CC3">
      <w:pPr>
        <w:pStyle w:val="PargrafodaLista"/>
        <w:numPr>
          <w:ilvl w:val="2"/>
          <w:numId w:val="13"/>
        </w:numPr>
        <w:tabs>
          <w:tab w:val="left" w:pos="567"/>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mantiver, em compatibilidade com as obrigações assumidas, todas as condições de habilitação e qualificação exigidas na licitação;</w:t>
      </w:r>
    </w:p>
    <w:p w:rsidR="00FE7CC3" w:rsidRPr="006406D1" w:rsidRDefault="00FE7CC3" w:rsidP="00FE7CC3">
      <w:pPr>
        <w:pStyle w:val="PargrafodaLista"/>
        <w:numPr>
          <w:ilvl w:val="2"/>
          <w:numId w:val="13"/>
        </w:numPr>
        <w:tabs>
          <w:tab w:val="left" w:pos="567"/>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concordar com a eliminação, do valor do contrato, dos custos fixos ou variáveis não renováveis que já tenham sido pagos ou amortizados no primeiro ano de vigência da contratação.</w:t>
      </w:r>
    </w:p>
    <w:p w:rsidR="00FE7CC3" w:rsidRPr="00CD2BFF" w:rsidRDefault="00FE7CC3" w:rsidP="00FE7CC3">
      <w:pPr>
        <w:numPr>
          <w:ilvl w:val="1"/>
          <w:numId w:val="13"/>
        </w:numPr>
        <w:spacing w:before="120" w:after="120" w:line="276" w:lineRule="auto"/>
        <w:jc w:val="both"/>
        <w:rPr>
          <w:rFonts w:ascii="Times New Roman" w:hAnsi="Times New Roman" w:cs="Times New Roman"/>
          <w:color w:val="000000"/>
        </w:rPr>
      </w:pPr>
      <w:r w:rsidRPr="006406D1">
        <w:rPr>
          <w:rFonts w:eastAsia="MS Mincho" w:cs="Times New Roman"/>
          <w:bCs/>
          <w:iCs/>
          <w:color w:val="000000"/>
          <w:sz w:val="20"/>
          <w:szCs w:val="20"/>
        </w:rPr>
        <w:t>A prorrogação de contrato deverá ser promovida mediante celebração de termo aditivo</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C93D83" w:rsidRPr="00CD2BFF" w:rsidRDefault="00C93D83" w:rsidP="00C93D83">
      <w:pPr>
        <w:spacing w:before="120" w:after="120" w:line="276" w:lineRule="auto"/>
        <w:ind w:left="425"/>
        <w:jc w:val="both"/>
        <w:rPr>
          <w:rFonts w:ascii="Times New Roman" w:hAnsi="Times New Roman" w:cs="Times New Roman"/>
        </w:rPr>
      </w:pP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despesas decorrentes desta contratação estão programadas em dotação orçamentária própria, prevista no orçamento da União, para o exercício de 20</w:t>
      </w:r>
      <w:r w:rsidR="00DF74A9">
        <w:rPr>
          <w:rFonts w:ascii="Times New Roman" w:hAnsi="Times New Roman" w:cs="Times New Roman"/>
        </w:rPr>
        <w:t>1</w:t>
      </w:r>
      <w:r w:rsidR="002A6EBB">
        <w:rPr>
          <w:rFonts w:ascii="Times New Roman" w:hAnsi="Times New Roman" w:cs="Times New Roman"/>
        </w:rPr>
        <w:t>6</w:t>
      </w:r>
      <w:r w:rsidRPr="00CD2BFF">
        <w:rPr>
          <w:rFonts w:ascii="Times New Roman" w:hAnsi="Times New Roman" w:cs="Times New Roman"/>
        </w:rPr>
        <w:t>.,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3A461B">
        <w:rPr>
          <w:rFonts w:ascii="Times New Roman" w:hAnsi="Times New Roman" w:cs="Times New Roman"/>
          <w:b/>
        </w:rPr>
        <w:t>DO</w:t>
      </w:r>
      <w:r w:rsidR="00E739CB" w:rsidRPr="00CD2BFF">
        <w:rPr>
          <w:rFonts w:ascii="Times New Roman" w:hAnsi="Times New Roman" w:cs="Times New Roman"/>
          <w:b/>
        </w:rPr>
        <w:t xml:space="preserv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3A461B" w:rsidRPr="003A461B" w:rsidRDefault="003A461B" w:rsidP="003A461B">
      <w:pPr>
        <w:pStyle w:val="PargrafodaLista"/>
        <w:numPr>
          <w:ilvl w:val="1"/>
          <w:numId w:val="44"/>
        </w:numPr>
        <w:jc w:val="both"/>
        <w:rPr>
          <w:rFonts w:ascii="Times New Roman" w:hAnsi="Times New Roman"/>
        </w:rPr>
      </w:pPr>
      <w:r w:rsidRPr="003A461B">
        <w:rPr>
          <w:rFonts w:ascii="Times New Roman" w:hAnsi="Times New Roman"/>
        </w:rPr>
        <w:t>Durante a vigência d</w:t>
      </w:r>
      <w:r w:rsidR="007E5F46">
        <w:rPr>
          <w:rFonts w:ascii="Times New Roman" w:hAnsi="Times New Roman"/>
        </w:rPr>
        <w:t>a</w:t>
      </w:r>
      <w:r w:rsidRPr="003A461B">
        <w:rPr>
          <w:rFonts w:ascii="Times New Roman" w:hAnsi="Times New Roman"/>
        </w:rPr>
        <w:t xml:space="preserve"> </w:t>
      </w:r>
      <w:r w:rsidR="007E5F46">
        <w:rPr>
          <w:rFonts w:ascii="Times New Roman" w:hAnsi="Times New Roman"/>
        </w:rPr>
        <w:t>c</w:t>
      </w:r>
      <w:r w:rsidRPr="003A461B">
        <w:rPr>
          <w:rFonts w:ascii="Times New Roman" w:hAnsi="Times New Roman"/>
        </w:rPr>
        <w:t>ontratação, os preços são fixos e irreajustáveis.</w:t>
      </w:r>
    </w:p>
    <w:p w:rsidR="0021493D" w:rsidRPr="00CD2BFF" w:rsidRDefault="003A461B" w:rsidP="003A461B">
      <w:pPr>
        <w:spacing w:before="120" w:after="120" w:line="276" w:lineRule="auto"/>
        <w:ind w:left="425"/>
        <w:jc w:val="both"/>
        <w:rPr>
          <w:rFonts w:ascii="Times New Roman" w:hAnsi="Times New Roman" w:cs="Times New Roman"/>
        </w:rPr>
      </w:pPr>
      <w:r w:rsidRPr="007E5F46">
        <w:rPr>
          <w:rFonts w:ascii="Times New Roman" w:hAnsi="Times New Roman"/>
        </w:rPr>
        <w:t>6.1.1</w:t>
      </w:r>
      <w:r w:rsidRPr="005E0122">
        <w:rPr>
          <w:rFonts w:ascii="Times New Roman" w:hAnsi="Times New Roman"/>
          <w:b/>
        </w:rPr>
        <w:t>.</w:t>
      </w:r>
      <w:r w:rsidRPr="005E0122">
        <w:rPr>
          <w:rFonts w:ascii="Times New Roman" w:hAnsi="Times New Roman"/>
        </w:rPr>
        <w:t xml:space="preserve"> Caso o contrato esteja em vigor depois de transcorrido um ano da data limite para apresentação das propostas, será admitido o reajuste do preço, desde que solicitado pela contratada, aplicando-se o índice Nacional de Preços ao Consumidor Amplo IPCA, ou outro que venha substituí-lo, observadas as disposições legais</w:t>
      </w:r>
      <w:r w:rsidR="0021493D"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Pr>
          <w:rFonts w:ascii="Times New Roman" w:hAnsi="Times New Roman" w:cs="Times New Roman"/>
          <w:bCs/>
          <w:iCs/>
          <w:color w:val="000000"/>
          <w:szCs w:val="20"/>
        </w:rPr>
        <w:t>A CONTRATADA</w:t>
      </w:r>
      <w:r w:rsidRPr="007E5F46">
        <w:rPr>
          <w:rFonts w:ascii="Times New Roman" w:hAnsi="Times New Roman" w:cs="Times New Roman"/>
          <w:bCs/>
          <w:iCs/>
          <w:color w:val="000000"/>
          <w:szCs w:val="20"/>
        </w:rPr>
        <w:t xml:space="preserve">, no prazo de </w:t>
      </w:r>
      <w:r w:rsidRPr="007E5F46">
        <w:rPr>
          <w:rFonts w:ascii="Times New Roman" w:hAnsi="Times New Roman" w:cs="Times New Roman"/>
          <w:bCs/>
          <w:iCs/>
          <w:szCs w:val="20"/>
        </w:rPr>
        <w:t xml:space="preserve">10 (dez) dias </w:t>
      </w:r>
      <w:r w:rsidRPr="007E5F46">
        <w:rPr>
          <w:rFonts w:ascii="Times New Roman" w:hAnsi="Times New Roman" w:cs="Times New Roman"/>
          <w:bCs/>
          <w:iCs/>
          <w:color w:val="000000"/>
          <w:szCs w:val="20"/>
        </w:rPr>
        <w:t xml:space="preserve">após a assinatura do Termo de Contrato, prestará garantia no valor correspondente a </w:t>
      </w:r>
      <w:r w:rsidRPr="007E5F46">
        <w:rPr>
          <w:rFonts w:ascii="Times New Roman" w:hAnsi="Times New Roman" w:cs="Times New Roman"/>
          <w:bCs/>
          <w:i/>
          <w:iCs/>
          <w:color w:val="FF0000"/>
          <w:szCs w:val="20"/>
        </w:rPr>
        <w:t>.</w:t>
      </w:r>
      <w:r>
        <w:rPr>
          <w:rFonts w:ascii="Times New Roman" w:hAnsi="Times New Roman" w:cs="Times New Roman"/>
          <w:bCs/>
          <w:i/>
          <w:iCs/>
          <w:color w:val="FF0000"/>
          <w:szCs w:val="20"/>
        </w:rPr>
        <w:t>5%</w:t>
      </w:r>
      <w:r w:rsidRPr="007E5F46">
        <w:rPr>
          <w:rFonts w:ascii="Times New Roman" w:hAnsi="Times New Roman" w:cs="Times New Roman"/>
          <w:bCs/>
          <w:i/>
          <w:iCs/>
          <w:color w:val="FF0000"/>
          <w:szCs w:val="20"/>
        </w:rPr>
        <w:t>(</w:t>
      </w:r>
      <w:r>
        <w:rPr>
          <w:rFonts w:ascii="Times New Roman" w:hAnsi="Times New Roman" w:cs="Times New Roman"/>
          <w:bCs/>
          <w:i/>
          <w:iCs/>
          <w:color w:val="FF0000"/>
          <w:szCs w:val="20"/>
        </w:rPr>
        <w:t>cinco por cento</w:t>
      </w:r>
      <w:r w:rsidRPr="007E5F46">
        <w:rPr>
          <w:rFonts w:ascii="Times New Roman" w:hAnsi="Times New Roman" w:cs="Times New Roman"/>
          <w:bCs/>
          <w:i/>
          <w:iCs/>
          <w:color w:val="FF0000"/>
          <w:szCs w:val="20"/>
        </w:rPr>
        <w:t>.)</w:t>
      </w:r>
      <w:r w:rsidRPr="007E5F46">
        <w:rPr>
          <w:rFonts w:ascii="Times New Roman" w:hAnsi="Times New Roman" w:cs="Times New Roman"/>
          <w:bCs/>
          <w:iCs/>
          <w:color w:val="000000"/>
          <w:szCs w:val="20"/>
        </w:rPr>
        <w:t xml:space="preserve"> do valor do Contrato, que será liberada de acordo com as condições previstas neste Edital, conforme disposto no art. 56 da Lei nº 8.666, de 1993, desde que cumpridas as obrigações contratuais.</w:t>
      </w:r>
    </w:p>
    <w:p w:rsidR="007E5F46" w:rsidRPr="007E5F46" w:rsidRDefault="007E5F46" w:rsidP="007E5F46">
      <w:pPr>
        <w:numPr>
          <w:ilvl w:val="2"/>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rsidR="007E5F46" w:rsidRPr="007E5F46" w:rsidRDefault="007E5F46" w:rsidP="007E5F46">
      <w:pPr>
        <w:numPr>
          <w:ilvl w:val="2"/>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A validade da garantia, qualquer que seja a modalidade escolhida, deverá abranger um período de mais 3 (três) meses após o término da vigência contratual.</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A garantia assegurará, qualquer que seja a modalidade escolhida, o pagamento de: </w:t>
      </w:r>
    </w:p>
    <w:p w:rsidR="007E5F46" w:rsidRPr="007E5F46" w:rsidRDefault="007E5F46" w:rsidP="007E5F46">
      <w:pPr>
        <w:numPr>
          <w:ilvl w:val="2"/>
          <w:numId w:val="37"/>
        </w:numPr>
        <w:tabs>
          <w:tab w:val="left" w:pos="1440"/>
        </w:tabs>
        <w:autoSpaceDE w:val="0"/>
        <w:snapToGrid w:val="0"/>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prejuízos advindos do não cumprimento do objeto do contrato; </w:t>
      </w:r>
    </w:p>
    <w:p w:rsidR="007E5F46" w:rsidRPr="007E5F46" w:rsidRDefault="007E5F46" w:rsidP="007E5F46">
      <w:pPr>
        <w:numPr>
          <w:ilvl w:val="2"/>
          <w:numId w:val="37"/>
        </w:numPr>
        <w:tabs>
          <w:tab w:val="left" w:pos="1440"/>
        </w:tabs>
        <w:autoSpaceDE w:val="0"/>
        <w:snapToGrid w:val="0"/>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prejuízos diretos causados à Administração decorrentes de culpa ou dolo durante a execução do contrato;</w:t>
      </w:r>
    </w:p>
    <w:p w:rsidR="007E5F46" w:rsidRPr="007E5F46" w:rsidRDefault="007E5F46" w:rsidP="007E5F46">
      <w:pPr>
        <w:numPr>
          <w:ilvl w:val="2"/>
          <w:numId w:val="37"/>
        </w:numPr>
        <w:tabs>
          <w:tab w:val="left" w:pos="1440"/>
        </w:tabs>
        <w:autoSpaceDE w:val="0"/>
        <w:snapToGrid w:val="0"/>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multas moratórias e punitivas aplicadas pela Administração à contratada; e  </w:t>
      </w:r>
    </w:p>
    <w:p w:rsidR="007E5F46" w:rsidRPr="007E5F46" w:rsidRDefault="007E5F46" w:rsidP="007E5F46">
      <w:pPr>
        <w:numPr>
          <w:ilvl w:val="2"/>
          <w:numId w:val="37"/>
        </w:numPr>
        <w:tabs>
          <w:tab w:val="left" w:pos="1440"/>
        </w:tabs>
        <w:autoSpaceDE w:val="0"/>
        <w:snapToGrid w:val="0"/>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obrigações trabalhistas e previdenciárias de qualquer natureza, não adimplidas pela contratada, quando couber.</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A modalidade seguro-garantia somente será aceita se contemplar todos os eventos indicados no item anterior, mencionados no art. 19, XIX, b da IN SLTI/MPOG 02/2008, observada a legislação que rege a matéria.</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A garantia em dinheiro deverá ser efetuada na Caixa Econômica Federal em conta específica com correção monetária, em favor do contratante;</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color w:val="000000"/>
          <w:szCs w:val="20"/>
          <w:lang w:eastAsia="en-US"/>
        </w:rPr>
        <w:t>No caso de alteração do valor do contrato, ou prorrogação de sua vigência, a garantia deverá ser readequada ou renovada nas mesmas condições.</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Se o valor da garantia for utilizado total ou parcialmente em pagamento de qualquer obrigação, a Contratada obriga-se a fazer a respectiva reposição no prazo máximo </w:t>
      </w:r>
      <w:r w:rsidRPr="007E5F46">
        <w:rPr>
          <w:rFonts w:ascii="Times New Roman" w:hAnsi="Times New Roman" w:cs="Times New Roman"/>
          <w:bCs/>
          <w:iCs/>
          <w:szCs w:val="20"/>
        </w:rPr>
        <w:t>de</w:t>
      </w:r>
      <w:r w:rsidRPr="007E5F46">
        <w:rPr>
          <w:rFonts w:ascii="Times New Roman" w:hAnsi="Times New Roman" w:cs="Times New Roman"/>
          <w:bCs/>
          <w:iCs/>
          <w:color w:val="FF0000"/>
          <w:szCs w:val="20"/>
        </w:rPr>
        <w:t xml:space="preserve"> .......... (......)</w:t>
      </w:r>
      <w:r w:rsidRPr="007E5F46">
        <w:rPr>
          <w:rFonts w:ascii="Times New Roman" w:hAnsi="Times New Roman" w:cs="Times New Roman"/>
          <w:bCs/>
          <w:iCs/>
          <w:color w:val="000000"/>
          <w:szCs w:val="20"/>
        </w:rPr>
        <w:t xml:space="preserve"> dias úteis, contados da data em que for notificada.</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A Contratante executará a garantia na forma prevista na legislação que rege a matéria.</w:t>
      </w:r>
    </w:p>
    <w:p w:rsidR="007E5F46" w:rsidRPr="007E5F46" w:rsidRDefault="007E5F46" w:rsidP="007E5F46">
      <w:pPr>
        <w:numPr>
          <w:ilvl w:val="1"/>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Será considerada extinta a garantia:</w:t>
      </w:r>
    </w:p>
    <w:p w:rsidR="007E5F46" w:rsidRPr="007E5F46" w:rsidRDefault="007E5F46" w:rsidP="007E5F46">
      <w:pPr>
        <w:numPr>
          <w:ilvl w:val="2"/>
          <w:numId w:val="37"/>
        </w:numPr>
        <w:spacing w:before="120" w:after="120" w:line="276" w:lineRule="auto"/>
        <w:jc w:val="both"/>
        <w:rPr>
          <w:rFonts w:ascii="Times New Roman" w:hAnsi="Times New Roman" w:cs="Times New Roman"/>
          <w:bCs/>
          <w:iCs/>
          <w:color w:val="000000"/>
          <w:szCs w:val="20"/>
        </w:rPr>
      </w:pPr>
      <w:r w:rsidRPr="007E5F46">
        <w:rPr>
          <w:rFonts w:ascii="Times New Roman" w:hAnsi="Times New Roman" w:cs="Times New Roman"/>
          <w:bCs/>
          <w:iCs/>
          <w:color w:val="00000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E57F9" w:rsidRPr="007E5F46" w:rsidRDefault="007E5F46" w:rsidP="007E5F46">
      <w:pPr>
        <w:pStyle w:val="PargrafodaLista"/>
        <w:numPr>
          <w:ilvl w:val="1"/>
          <w:numId w:val="37"/>
        </w:numPr>
        <w:spacing w:before="120" w:after="120" w:line="276" w:lineRule="auto"/>
        <w:jc w:val="both"/>
        <w:rPr>
          <w:rFonts w:ascii="Times New Roman" w:hAnsi="Times New Roman" w:cs="Times New Roman"/>
        </w:rPr>
      </w:pPr>
      <w:r w:rsidRPr="007E5F46">
        <w:rPr>
          <w:rFonts w:ascii="Times New Roman" w:hAnsi="Times New Roman" w:cs="Times New Roman"/>
          <w:bCs/>
          <w:iCs/>
          <w:color w:val="000000"/>
          <w:szCs w:val="20"/>
        </w:rPr>
        <w:t xml:space="preserve"> no prazo de três meses após o término da vigência, caso a Contratante não comunique a ocorrência de sinistros</w:t>
      </w:r>
      <w:r w:rsidR="009E57F9" w:rsidRPr="007E5F46">
        <w:rPr>
          <w:rFonts w:ascii="Times New Roman" w:hAnsi="Times New Roman" w:cs="Times New Roman"/>
        </w:rPr>
        <w:t>.</w:t>
      </w:r>
    </w:p>
    <w:p w:rsidR="00DF74A9" w:rsidRDefault="00DF74A9" w:rsidP="00DF74A9">
      <w:pPr>
        <w:pStyle w:val="PargrafodaLista"/>
        <w:spacing w:before="120" w:after="120" w:line="276" w:lineRule="auto"/>
        <w:ind w:left="425"/>
        <w:jc w:val="both"/>
        <w:rPr>
          <w:rFonts w:ascii="Times New Roman" w:hAnsi="Times New Roman" w:cs="Times New Roman"/>
        </w:rPr>
      </w:pPr>
    </w:p>
    <w:p w:rsidR="002A6EBB" w:rsidRPr="00DF74A9" w:rsidRDefault="002A6EBB"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Default="00086D2A" w:rsidP="00086D2A">
      <w:pPr>
        <w:pStyle w:val="PargrafodaLista"/>
        <w:spacing w:before="120" w:after="120" w:line="276" w:lineRule="auto"/>
        <w:ind w:left="427"/>
        <w:jc w:val="both"/>
        <w:rPr>
          <w:rFonts w:ascii="Times New Roman" w:hAnsi="Times New Roman" w:cs="Times New Roman"/>
        </w:rPr>
      </w:pPr>
    </w:p>
    <w:p w:rsidR="003A461B" w:rsidRPr="00DF74A9" w:rsidRDefault="003A461B"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3A461B" w:rsidRPr="003A461B" w:rsidRDefault="000D6C4C" w:rsidP="003A461B">
      <w:pPr>
        <w:pStyle w:val="PargrafodaLista"/>
        <w:numPr>
          <w:ilvl w:val="0"/>
          <w:numId w:val="41"/>
        </w:numPr>
        <w:jc w:val="both"/>
        <w:rPr>
          <w:rFonts w:ascii="Times New Roman" w:hAnsi="Times New Roman"/>
          <w:b/>
        </w:rPr>
      </w:pPr>
      <w:r w:rsidRPr="003A461B">
        <w:rPr>
          <w:rFonts w:ascii="Times New Roman" w:hAnsi="Times New Roman" w:cs="Times New Roman"/>
          <w:b/>
        </w:rPr>
        <w:t>C</w:t>
      </w:r>
      <w:r w:rsidR="0070059F" w:rsidRPr="003A461B">
        <w:rPr>
          <w:rFonts w:ascii="Times New Roman" w:hAnsi="Times New Roman" w:cs="Times New Roman"/>
          <w:b/>
        </w:rPr>
        <w:t xml:space="preserve">LÁUSULA DÉCIMA </w:t>
      </w:r>
      <w:r w:rsidR="003E7A9C" w:rsidRPr="003A461B">
        <w:rPr>
          <w:rFonts w:ascii="Times New Roman" w:hAnsi="Times New Roman" w:cs="Times New Roman"/>
          <w:b/>
        </w:rPr>
        <w:t>QUINTA</w:t>
      </w:r>
      <w:r w:rsidR="0070059F" w:rsidRPr="003A461B">
        <w:rPr>
          <w:rFonts w:ascii="Times New Roman" w:hAnsi="Times New Roman" w:cs="Times New Roman"/>
          <w:b/>
        </w:rPr>
        <w:t xml:space="preserve"> – </w:t>
      </w:r>
      <w:r w:rsidR="003A461B" w:rsidRPr="003A461B">
        <w:rPr>
          <w:rFonts w:ascii="Times New Roman" w:hAnsi="Times New Roman"/>
          <w:b/>
        </w:rPr>
        <w:t>DO SEGURO</w:t>
      </w:r>
    </w:p>
    <w:p w:rsidR="003A461B" w:rsidRPr="005E0122" w:rsidRDefault="003A461B" w:rsidP="003A461B">
      <w:pPr>
        <w:jc w:val="both"/>
        <w:rPr>
          <w:rFonts w:ascii="Times New Roman" w:hAnsi="Times New Roman"/>
          <w:b/>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15.1</w:t>
      </w:r>
      <w:r>
        <w:rPr>
          <w:rFonts w:ascii="Times New Roman" w:hAnsi="Times New Roman"/>
          <w:b/>
          <w:szCs w:val="24"/>
          <w:lang w:val="pt-BR"/>
        </w:rPr>
        <w:tab/>
      </w:r>
      <w:r w:rsidRPr="005E0122">
        <w:rPr>
          <w:rFonts w:ascii="Times New Roman" w:hAnsi="Times New Roman"/>
          <w:szCs w:val="24"/>
        </w:rPr>
        <w:t xml:space="preserve"> A Contratada deve apresentar, no ato da assinatura do Contrato, documento comprobatório de parceria com agente de seguros que será utilizado na execução do serviço. </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15.2</w:t>
      </w:r>
      <w:r>
        <w:rPr>
          <w:rFonts w:ascii="Times New Roman" w:hAnsi="Times New Roman"/>
          <w:b/>
          <w:szCs w:val="24"/>
          <w:lang w:val="pt-BR"/>
        </w:rPr>
        <w:tab/>
      </w:r>
      <w:r w:rsidRPr="005E0122">
        <w:rPr>
          <w:rFonts w:ascii="Times New Roman" w:hAnsi="Times New Roman"/>
          <w:szCs w:val="24"/>
        </w:rPr>
        <w:t xml:space="preserve"> O valor correspondente à parcela do seguro de bagagem será pago, tendo como alíquota o valor percentual registrado na proposta de preços apresentada na licitação, multiplicado pelo valor de cobertura da mudança declarado pelo servidor, até o limite estabelecido na Ordem de Serviço.</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15.3</w:t>
      </w:r>
      <w:r>
        <w:rPr>
          <w:rFonts w:ascii="Times New Roman" w:hAnsi="Times New Roman"/>
          <w:b/>
          <w:szCs w:val="24"/>
          <w:lang w:val="pt-BR"/>
        </w:rPr>
        <w:tab/>
      </w:r>
      <w:r w:rsidRPr="005E0122">
        <w:rPr>
          <w:rFonts w:ascii="Times New Roman" w:hAnsi="Times New Roman"/>
          <w:szCs w:val="24"/>
        </w:rPr>
        <w:t>O valor correspondente à parcela do seguro deverá está contemplado no preço do m³ apresentado na proposta comercial da contratada.</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szCs w:val="24"/>
        </w:rPr>
        <w:t>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b/>
          <w:szCs w:val="24"/>
        </w:rPr>
        <w:t>.</w:t>
      </w:r>
      <w:r w:rsidRPr="005E0122">
        <w:rPr>
          <w:rFonts w:ascii="Times New Roman" w:hAnsi="Times New Roman"/>
          <w:szCs w:val="24"/>
        </w:rPr>
        <w:t xml:space="preserve"> Para o transporte de bagagem e automóvel para o Exterior,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3A461B" w:rsidRDefault="003A461B" w:rsidP="003A461B">
      <w:pPr>
        <w:pStyle w:val="PargrafodaLista"/>
        <w:rPr>
          <w:rFonts w:ascii="Times New Roman" w:hAnsi="Times New Roman"/>
        </w:rPr>
      </w:pPr>
    </w:p>
    <w:p w:rsidR="003A461B" w:rsidRP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b/>
          <w:szCs w:val="24"/>
        </w:rPr>
        <w:t>.</w:t>
      </w:r>
      <w:r w:rsidRPr="005E0122">
        <w:rPr>
          <w:rFonts w:ascii="Times New Roman" w:hAnsi="Times New Roman"/>
          <w:szCs w:val="24"/>
        </w:rPr>
        <w:t xml:space="preserve"> Antes do início da embalagem, a Contratada deverá fornecer, ao servidor, uma via original da apólice, devidamente averbada, contendo relação dos pertences segurados entregue pelo servidor e assinada pela Contratada.</w:t>
      </w:r>
    </w:p>
    <w:p w:rsidR="0070059F" w:rsidRPr="00CD2BFF" w:rsidRDefault="003A461B" w:rsidP="00086D2A">
      <w:pPr>
        <w:numPr>
          <w:ilvl w:val="0"/>
          <w:numId w:val="41"/>
        </w:numPr>
        <w:spacing w:before="120" w:after="120" w:line="276" w:lineRule="auto"/>
        <w:ind w:left="0" w:firstLine="0"/>
        <w:jc w:val="both"/>
        <w:rPr>
          <w:rFonts w:ascii="Times New Roman" w:hAnsi="Times New Roman" w:cs="Times New Roman"/>
        </w:rPr>
      </w:pPr>
      <w:r>
        <w:rPr>
          <w:rFonts w:ascii="Times New Roman" w:hAnsi="Times New Roman" w:cs="Times New Roman"/>
          <w:b/>
        </w:rPr>
        <w:t xml:space="preserve">CLÁUSULA DÉCIMA SEXTA – DA </w:t>
      </w:r>
      <w:r w:rsidR="0070059F" w:rsidRPr="00CD2BFF">
        <w:rPr>
          <w:rFonts w:ascii="Times New Roman" w:hAnsi="Times New Roman" w:cs="Times New Roman"/>
          <w:b/>
        </w:rPr>
        <w:t>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 xml:space="preserve">ncumbirá à CONTRATANTE providenciar a publicação deste instrumento, por extrato, no Diário Oficial da União, no prazo previsto </w:t>
      </w:r>
      <w:r w:rsidR="00C40D90">
        <w:rPr>
          <w:rFonts w:ascii="Times New Roman" w:hAnsi="Times New Roman" w:cs="Times New Roman"/>
        </w:rPr>
        <w:t>no art. 61 d</w:t>
      </w:r>
      <w:r w:rsidR="0070059F" w:rsidRPr="00CD2BFF">
        <w:rPr>
          <w:rFonts w:ascii="Times New Roman" w:hAnsi="Times New Roman" w:cs="Times New Roman"/>
        </w:rPr>
        <w:t>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w:t>
      </w:r>
      <w:r w:rsidR="002A6EBB">
        <w:rPr>
          <w:rFonts w:ascii="Times New Roman" w:hAnsi="Times New Roman" w:cs="Times New Roman"/>
        </w:rPr>
        <w:t>rmo de Contrato foi lavrado em 03 (trê</w:t>
      </w:r>
      <w:r w:rsidR="0070059F" w:rsidRPr="00CD2BFF">
        <w:rPr>
          <w:rFonts w:ascii="Times New Roman" w:hAnsi="Times New Roman" w:cs="Times New Roman"/>
        </w:rPr>
        <w:t xml:space="preserve">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Brasília, DF___ de _____________________ de 201</w:t>
      </w:r>
      <w:r w:rsidR="002A6EBB">
        <w:rPr>
          <w:rFonts w:ascii="Times New Roman" w:hAnsi="Times New Roman" w:cs="Times New Roman"/>
        </w:rPr>
        <w:t>6</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70059F" w:rsidRPr="00CD2BFF" w:rsidRDefault="0070059F" w:rsidP="0070059F">
      <w:pPr>
        <w:spacing w:after="120"/>
        <w:jc w:val="both"/>
        <w:rPr>
          <w:rFonts w:ascii="Times New Roman" w:hAnsi="Times New Roman" w:cs="Times New Roman"/>
        </w:rPr>
      </w:pPr>
      <w:bookmarkStart w:id="0" w:name="_GoBack"/>
      <w:bookmarkEnd w:id="0"/>
      <w:r w:rsidRPr="00CD2BFF">
        <w:rPr>
          <w:rFonts w:ascii="Times New Roman" w:hAnsi="Times New Roman" w:cs="Times New Roman"/>
        </w:rPr>
        <w:t>TESTEMUNHAS:</w:t>
      </w:r>
    </w:p>
    <w:sectPr w:rsidR="0070059F" w:rsidRPr="00CD2BFF" w:rsidSect="00CD2BFF">
      <w:headerReference w:type="default" r:id="rId9"/>
      <w:footerReference w:type="default" r:id="rId10"/>
      <w:headerReference w:type="first" r:id="rId11"/>
      <w:footerReference w:type="first" r:id="rId12"/>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r w:rsidRPr="00DF74A9">
      <w:rPr>
        <w:rFonts w:ascii="Times New Roman" w:hAnsi="Times New Roman" w:cs="Times New Roman"/>
        <w:b/>
        <w:i/>
        <w:sz w:val="20"/>
        <w:szCs w:val="20"/>
      </w:rPr>
      <w:t>SECC.DICON.jcs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r w:rsidRPr="00CD2BFF">
      <w:rPr>
        <w:rFonts w:ascii="Times New Roman" w:hAnsi="Times New Roman" w:cs="Times New Roman"/>
        <w:b/>
        <w:i/>
        <w:sz w:val="20"/>
        <w:szCs w:val="20"/>
      </w:rPr>
      <w:t>SECC.DICON.jcs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w:t>
    </w:r>
    <w:r w:rsidR="002A6EBB">
      <w:rPr>
        <w:rFonts w:ascii="Times New Roman" w:hAnsi="Times New Roman" w:cs="Times New Roman"/>
        <w:sz w:val="20"/>
        <w:szCs w:val="20"/>
      </w:rPr>
      <w:t>6</w:t>
    </w:r>
    <w:r w:rsidRPr="00CD2BFF">
      <w:rPr>
        <w:rFonts w:ascii="Times New Roman" w:hAnsi="Times New Roman" w:cs="Times New Roman"/>
        <w:sz w:val="20"/>
        <w:szCs w:val="20"/>
      </w:rPr>
      <w:t>-COAD/DLOG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754483">
      <w:rPr>
        <w:rFonts w:ascii="Times New Roman" w:hAnsi="Times New Roman" w:cs="Times New Roman"/>
        <w:b/>
        <w:bCs/>
        <w:noProof/>
        <w:sz w:val="20"/>
        <w:szCs w:val="20"/>
      </w:rPr>
      <w:t>8</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754483">
      <w:rPr>
        <w:rFonts w:ascii="Times New Roman" w:hAnsi="Times New Roman" w:cs="Times New Roman"/>
        <w:b/>
        <w:bCs/>
        <w:noProof/>
        <w:sz w:val="20"/>
        <w:szCs w:val="20"/>
      </w:rPr>
      <w:t>8</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754483" w:rsidP="00CD2BFF">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CD2BFF"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20172962"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8"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9"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40" w15:restartNumberingAfterBreak="0">
    <w:nsid w:val="779D1575"/>
    <w:multiLevelType w:val="multilevel"/>
    <w:tmpl w:val="43462B28"/>
    <w:lvl w:ilvl="0">
      <w:start w:val="15"/>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7C5D54F7"/>
    <w:multiLevelType w:val="multilevel"/>
    <w:tmpl w:val="B0345B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abstractNum w:abstractNumId="43"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4"/>
  </w:num>
  <w:num w:numId="3">
    <w:abstractNumId w:val="18"/>
  </w:num>
  <w:num w:numId="4">
    <w:abstractNumId w:val="34"/>
  </w:num>
  <w:num w:numId="5">
    <w:abstractNumId w:val="16"/>
  </w:num>
  <w:num w:numId="6">
    <w:abstractNumId w:val="30"/>
  </w:num>
  <w:num w:numId="7">
    <w:abstractNumId w:val="27"/>
  </w:num>
  <w:num w:numId="8">
    <w:abstractNumId w:val="28"/>
  </w:num>
  <w:num w:numId="9">
    <w:abstractNumId w:val="33"/>
  </w:num>
  <w:num w:numId="10">
    <w:abstractNumId w:val="11"/>
  </w:num>
  <w:num w:numId="11">
    <w:abstractNumId w:val="29"/>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1"/>
  </w:num>
  <w:num w:numId="27">
    <w:abstractNumId w:val="13"/>
  </w:num>
  <w:num w:numId="28">
    <w:abstractNumId w:val="38"/>
  </w:num>
  <w:num w:numId="29">
    <w:abstractNumId w:val="39"/>
  </w:num>
  <w:num w:numId="30">
    <w:abstractNumId w:val="35"/>
  </w:num>
  <w:num w:numId="31">
    <w:abstractNumId w:val="17"/>
  </w:num>
  <w:num w:numId="32">
    <w:abstractNumId w:val="21"/>
  </w:num>
  <w:num w:numId="33">
    <w:abstractNumId w:val="12"/>
  </w:num>
  <w:num w:numId="34">
    <w:abstractNumId w:val="22"/>
  </w:num>
  <w:num w:numId="35">
    <w:abstractNumId w:val="0"/>
  </w:num>
  <w:num w:numId="36">
    <w:abstractNumId w:val="24"/>
  </w:num>
  <w:num w:numId="37">
    <w:abstractNumId w:val="42"/>
  </w:num>
  <w:num w:numId="38">
    <w:abstractNumId w:val="15"/>
  </w:num>
  <w:num w:numId="39">
    <w:abstractNumId w:val="37"/>
  </w:num>
  <w:num w:numId="40">
    <w:abstractNumId w:val="26"/>
  </w:num>
  <w:num w:numId="41">
    <w:abstractNumId w:val="32"/>
  </w:num>
  <w:num w:numId="42">
    <w:abstractNumId w:val="43"/>
  </w:num>
  <w:num w:numId="43">
    <w:abstractNumId w:val="40"/>
  </w:num>
  <w:num w:numId="44">
    <w:abstractNumId w:val="4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4964"/>
    <w:rsid w:val="000150AF"/>
    <w:rsid w:val="0002260C"/>
    <w:rsid w:val="0002306D"/>
    <w:rsid w:val="000242C8"/>
    <w:rsid w:val="00027155"/>
    <w:rsid w:val="000318BA"/>
    <w:rsid w:val="000328C3"/>
    <w:rsid w:val="00034A29"/>
    <w:rsid w:val="00040957"/>
    <w:rsid w:val="00046628"/>
    <w:rsid w:val="00047D73"/>
    <w:rsid w:val="00055845"/>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A7B"/>
    <w:rsid w:val="000A1B88"/>
    <w:rsid w:val="000A23DA"/>
    <w:rsid w:val="000A674F"/>
    <w:rsid w:val="000B7B55"/>
    <w:rsid w:val="000C123B"/>
    <w:rsid w:val="000C21AD"/>
    <w:rsid w:val="000C2C16"/>
    <w:rsid w:val="000C419D"/>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60D7"/>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A66E9"/>
    <w:rsid w:val="002A6EBB"/>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65"/>
    <w:rsid w:val="00367EF6"/>
    <w:rsid w:val="00373F2A"/>
    <w:rsid w:val="00374792"/>
    <w:rsid w:val="003779A2"/>
    <w:rsid w:val="0038139C"/>
    <w:rsid w:val="00381BEB"/>
    <w:rsid w:val="00384E6C"/>
    <w:rsid w:val="00386157"/>
    <w:rsid w:val="00386ADE"/>
    <w:rsid w:val="00391E14"/>
    <w:rsid w:val="003959F6"/>
    <w:rsid w:val="003959F7"/>
    <w:rsid w:val="003A18D5"/>
    <w:rsid w:val="003A461B"/>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0E9C"/>
    <w:rsid w:val="00512D53"/>
    <w:rsid w:val="00514883"/>
    <w:rsid w:val="005305C0"/>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20DB"/>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4483"/>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5F46"/>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027"/>
    <w:rsid w:val="00995FFD"/>
    <w:rsid w:val="009A45B0"/>
    <w:rsid w:val="009A5EE4"/>
    <w:rsid w:val="009A6A6F"/>
    <w:rsid w:val="009A6DC5"/>
    <w:rsid w:val="009B13A8"/>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4EEE"/>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3CC4"/>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338C5"/>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0D90"/>
    <w:rsid w:val="00C46F61"/>
    <w:rsid w:val="00C47BB2"/>
    <w:rsid w:val="00C51C28"/>
    <w:rsid w:val="00C53456"/>
    <w:rsid w:val="00C60C2D"/>
    <w:rsid w:val="00C70043"/>
    <w:rsid w:val="00C73861"/>
    <w:rsid w:val="00C7432C"/>
    <w:rsid w:val="00C75702"/>
    <w:rsid w:val="00C75791"/>
    <w:rsid w:val="00C76304"/>
    <w:rsid w:val="00C84955"/>
    <w:rsid w:val="00C86467"/>
    <w:rsid w:val="00C93D83"/>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8763D"/>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16"/>
    <w:rsid w:val="00F904AE"/>
    <w:rsid w:val="00FA0966"/>
    <w:rsid w:val="00FA6905"/>
    <w:rsid w:val="00FA7A01"/>
    <w:rsid w:val="00FB03E9"/>
    <w:rsid w:val="00FB4456"/>
    <w:rsid w:val="00FB5D74"/>
    <w:rsid w:val="00FC3A0E"/>
    <w:rsid w:val="00FD0A3A"/>
    <w:rsid w:val="00FD16AF"/>
    <w:rsid w:val="00FD1F4D"/>
    <w:rsid w:val="00FD2A3E"/>
    <w:rsid w:val="00FD7077"/>
    <w:rsid w:val="00FE1D87"/>
    <w:rsid w:val="00FE5BBC"/>
    <w:rsid w:val="00FE7CC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FE7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3A461B"/>
    <w:pPr>
      <w:spacing w:after="120"/>
      <w:ind w:left="283"/>
    </w:pPr>
    <w:rPr>
      <w:rFonts w:ascii="Arial" w:hAnsi="Arial" w:cs="Times New Roman"/>
      <w:szCs w:val="20"/>
      <w:lang w:val="x-none" w:eastAsia="x-none"/>
    </w:rPr>
  </w:style>
  <w:style w:type="character" w:customStyle="1" w:styleId="RecuodecorpodetextoChar">
    <w:name w:val="Recuo de corpo de texto Char"/>
    <w:basedOn w:val="Fontepargpadro"/>
    <w:link w:val="Recuodecorpodetexto"/>
    <w:rsid w:val="003A461B"/>
    <w:rPr>
      <w:rFonts w:ascii="Arial" w:hAnsi="Arial"/>
      <w:sz w:val="24"/>
      <w:lang w:val="x-none" w:eastAsia="x-none"/>
    </w:rPr>
  </w:style>
  <w:style w:type="character" w:customStyle="1" w:styleId="em0020ementachar1">
    <w:name w:val="em_0020ementa__char1"/>
    <w:rsid w:val="007E5F46"/>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qFormat/>
    <w:rsid w:val="007E5F46"/>
    <w:pPr>
      <w:spacing w:before="480" w:after="120" w:line="276" w:lineRule="auto"/>
      <w:ind w:left="357" w:hanging="357"/>
      <w:jc w:val="both"/>
    </w:pPr>
    <w:rPr>
      <w:rFonts w:ascii="Arial" w:hAnsi="Arial" w:cs="Arial"/>
      <w:b/>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8</Pages>
  <Words>2364</Words>
  <Characters>13595</Characters>
  <Application>Microsoft Office Word</Application>
  <DocSecurity>0</DocSecurity>
  <Lines>113</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2016-03-22T20:29:00Z</cp:lastPrinted>
  <dcterms:created xsi:type="dcterms:W3CDTF">2016-03-22T20:30:00Z</dcterms:created>
  <dcterms:modified xsi:type="dcterms:W3CDTF">2016-03-22T20:30:00Z</dcterms:modified>
</cp:coreProperties>
</file>